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41" w:type="dxa"/>
        <w:tblLayout w:type="fixed"/>
        <w:tblLook w:val="04A0" w:firstRow="1" w:lastRow="0" w:firstColumn="1" w:lastColumn="0" w:noHBand="0" w:noVBand="1"/>
      </w:tblPr>
      <w:tblGrid>
        <w:gridCol w:w="492"/>
        <w:gridCol w:w="94"/>
        <w:gridCol w:w="415"/>
        <w:gridCol w:w="43"/>
        <w:gridCol w:w="6497"/>
      </w:tblGrid>
      <w:tr w:rsidR="00211169" w:rsidRPr="002149A7" w:rsidTr="005C7399">
        <w:trPr>
          <w:trHeight w:val="230"/>
        </w:trPr>
        <w:tc>
          <w:tcPr>
            <w:tcW w:w="7541" w:type="dxa"/>
            <w:gridSpan w:val="5"/>
            <w:hideMark/>
          </w:tcPr>
          <w:p w:rsidR="00211169" w:rsidRPr="002149A7" w:rsidRDefault="00211169" w:rsidP="005C7399">
            <w:pPr>
              <w:overflowPunct w:val="0"/>
              <w:autoSpaceDE w:val="0"/>
              <w:autoSpaceDN w:val="0"/>
              <w:adjustRightInd w:val="0"/>
              <w:jc w:val="center"/>
              <w:rPr>
                <w:lang w:val="en-US"/>
              </w:rPr>
            </w:pPr>
            <w:r w:rsidRPr="002149A7">
              <w:t>FASIL 202,</w:t>
            </w:r>
          </w:p>
        </w:tc>
      </w:tr>
      <w:tr w:rsidR="00211169" w:rsidRPr="002149A7" w:rsidTr="005C7399">
        <w:trPr>
          <w:trHeight w:val="245"/>
        </w:trPr>
        <w:tc>
          <w:tcPr>
            <w:tcW w:w="7541" w:type="dxa"/>
            <w:gridSpan w:val="5"/>
            <w:hideMark/>
          </w:tcPr>
          <w:p w:rsidR="00211169" w:rsidRPr="002149A7" w:rsidRDefault="00211169" w:rsidP="005C7399">
            <w:pPr>
              <w:overflowPunct w:val="0"/>
              <w:autoSpaceDE w:val="0"/>
              <w:autoSpaceDN w:val="0"/>
              <w:adjustRightInd w:val="0"/>
              <w:jc w:val="right"/>
              <w:rPr>
                <w:lang w:val="en-US"/>
              </w:rPr>
            </w:pPr>
            <w:r w:rsidRPr="002149A7">
              <w:t>M.M. Cilt I.5.547</w:t>
            </w:r>
          </w:p>
        </w:tc>
      </w:tr>
      <w:tr w:rsidR="00211169" w:rsidRPr="002149A7" w:rsidTr="005C7399">
        <w:trPr>
          <w:trHeight w:val="230"/>
        </w:trPr>
        <w:tc>
          <w:tcPr>
            <w:tcW w:w="7541" w:type="dxa"/>
            <w:gridSpan w:val="5"/>
            <w:hideMark/>
          </w:tcPr>
          <w:p w:rsidR="00211169" w:rsidRPr="002149A7" w:rsidRDefault="00211169" w:rsidP="005C7399">
            <w:pPr>
              <w:overflowPunct w:val="0"/>
              <w:autoSpaceDE w:val="0"/>
              <w:autoSpaceDN w:val="0"/>
              <w:adjustRightInd w:val="0"/>
              <w:jc w:val="center"/>
              <w:rPr>
                <w:lang w:val="en-US"/>
              </w:rPr>
            </w:pPr>
            <w:r w:rsidRPr="002149A7">
              <w:t>1945 YILI İSTİKRAZ YASASI</w:t>
            </w:r>
          </w:p>
        </w:tc>
      </w:tr>
      <w:tr w:rsidR="00211169" w:rsidRPr="002149A7" w:rsidTr="005C7399">
        <w:trPr>
          <w:trHeight w:val="230"/>
        </w:trPr>
        <w:tc>
          <w:tcPr>
            <w:tcW w:w="586" w:type="dxa"/>
            <w:gridSpan w:val="2"/>
            <w:hideMark/>
          </w:tcPr>
          <w:p w:rsidR="00211169" w:rsidRPr="002149A7" w:rsidRDefault="00211169" w:rsidP="005C7399">
            <w:pPr>
              <w:overflowPunct w:val="0"/>
              <w:autoSpaceDE w:val="0"/>
              <w:autoSpaceDN w:val="0"/>
              <w:adjustRightInd w:val="0"/>
              <w:rPr>
                <w:lang w:val="en-US"/>
              </w:rPr>
            </w:pPr>
            <w:r w:rsidRPr="002149A7">
              <w:t>1.</w:t>
            </w:r>
          </w:p>
        </w:tc>
        <w:tc>
          <w:tcPr>
            <w:tcW w:w="6955" w:type="dxa"/>
            <w:gridSpan w:val="3"/>
            <w:hideMark/>
          </w:tcPr>
          <w:p w:rsidR="00211169" w:rsidRPr="002149A7" w:rsidRDefault="00211169" w:rsidP="005C7399">
            <w:pPr>
              <w:overflowPunct w:val="0"/>
              <w:autoSpaceDE w:val="0"/>
              <w:autoSpaceDN w:val="0"/>
              <w:adjustRightInd w:val="0"/>
              <w:rPr>
                <w:lang w:val="en-US"/>
              </w:rPr>
            </w:pPr>
            <w:r w:rsidRPr="002149A7">
              <w:t>Bu Tüzük İstikraz Tüzüğü olarak isimlendirilir.</w:t>
            </w:r>
          </w:p>
        </w:tc>
      </w:tr>
      <w:tr w:rsidR="00211169" w:rsidRPr="002149A7" w:rsidTr="005C7399">
        <w:trPr>
          <w:trHeight w:val="475"/>
        </w:trPr>
        <w:tc>
          <w:tcPr>
            <w:tcW w:w="586" w:type="dxa"/>
            <w:gridSpan w:val="2"/>
            <w:hideMark/>
          </w:tcPr>
          <w:p w:rsidR="00211169" w:rsidRPr="002149A7" w:rsidRDefault="00211169" w:rsidP="005C7399">
            <w:pPr>
              <w:overflowPunct w:val="0"/>
              <w:autoSpaceDE w:val="0"/>
              <w:autoSpaceDN w:val="0"/>
              <w:adjustRightInd w:val="0"/>
              <w:rPr>
                <w:lang w:val="en-US"/>
              </w:rPr>
            </w:pPr>
            <w:r w:rsidRPr="002149A7">
              <w:t>2.</w:t>
            </w:r>
          </w:p>
        </w:tc>
        <w:tc>
          <w:tcPr>
            <w:tcW w:w="6955" w:type="dxa"/>
            <w:gridSpan w:val="3"/>
            <w:hideMark/>
          </w:tcPr>
          <w:p w:rsidR="00211169" w:rsidRPr="002149A7" w:rsidRDefault="00211169" w:rsidP="005C7399">
            <w:pPr>
              <w:overflowPunct w:val="0"/>
              <w:autoSpaceDE w:val="0"/>
              <w:autoSpaceDN w:val="0"/>
              <w:adjustRightInd w:val="0"/>
              <w:rPr>
                <w:lang w:val="en-US"/>
              </w:rPr>
            </w:pPr>
            <w:r w:rsidRPr="002149A7">
              <w:t>"Komisyon" Valinin 3'üncü madde uyarınca atayacağı Komisyonu anlatır. "'Emniyet Kasası" Hazine ve Muhasebe Dairesi emniyet kasasını anlatır. "Küre" biletlerin konduğu kabı anlatır.</w:t>
            </w:r>
          </w:p>
        </w:tc>
      </w:tr>
      <w:tr w:rsidR="00211169" w:rsidRPr="002149A7" w:rsidTr="005C7399">
        <w:trPr>
          <w:trHeight w:val="475"/>
        </w:trPr>
        <w:tc>
          <w:tcPr>
            <w:tcW w:w="492" w:type="dxa"/>
            <w:hideMark/>
          </w:tcPr>
          <w:p w:rsidR="00211169" w:rsidRPr="002149A7" w:rsidRDefault="00211169" w:rsidP="005C7399">
            <w:pPr>
              <w:overflowPunct w:val="0"/>
              <w:autoSpaceDE w:val="0"/>
              <w:autoSpaceDN w:val="0"/>
              <w:adjustRightInd w:val="0"/>
              <w:rPr>
                <w:lang w:val="en-US"/>
              </w:rPr>
            </w:pPr>
            <w:r w:rsidRPr="002149A7">
              <w:t>3.</w:t>
            </w:r>
          </w:p>
        </w:tc>
        <w:tc>
          <w:tcPr>
            <w:tcW w:w="509" w:type="dxa"/>
            <w:gridSpan w:val="2"/>
            <w:hideMark/>
          </w:tcPr>
          <w:p w:rsidR="00211169" w:rsidRPr="002149A7" w:rsidRDefault="00211169" w:rsidP="005C7399">
            <w:pPr>
              <w:overflowPunct w:val="0"/>
              <w:autoSpaceDE w:val="0"/>
              <w:autoSpaceDN w:val="0"/>
              <w:adjustRightInd w:val="0"/>
              <w:ind w:right="-122"/>
              <w:rPr>
                <w:lang w:val="en-US"/>
              </w:rPr>
            </w:pPr>
            <w:r w:rsidRPr="002149A7">
              <w:t>(1)</w:t>
            </w:r>
          </w:p>
        </w:tc>
        <w:tc>
          <w:tcPr>
            <w:tcW w:w="6540" w:type="dxa"/>
            <w:gridSpan w:val="2"/>
            <w:hideMark/>
          </w:tcPr>
          <w:p w:rsidR="00211169" w:rsidRPr="002149A7" w:rsidRDefault="00211169" w:rsidP="005C7399">
            <w:pPr>
              <w:overflowPunct w:val="0"/>
              <w:autoSpaceDE w:val="0"/>
              <w:autoSpaceDN w:val="0"/>
              <w:adjustRightInd w:val="0"/>
              <w:rPr>
                <w:lang w:val="en-US"/>
              </w:rPr>
            </w:pPr>
            <w:r w:rsidRPr="002149A7">
              <w:t>Başkan olarak Baş Muhasib ile Valinin atayacağı başka altı üyeden oluşan bir komisyon kurulur; Komisyon üyeleri atandıkları tarihten başlayarak iki yıllık bir süre için görev yapar;</w:t>
            </w:r>
          </w:p>
        </w:tc>
      </w:tr>
      <w:tr w:rsidR="00211169" w:rsidRPr="002149A7" w:rsidTr="005C7399">
        <w:trPr>
          <w:trHeight w:val="460"/>
        </w:trPr>
        <w:tc>
          <w:tcPr>
            <w:tcW w:w="492" w:type="dxa"/>
          </w:tcPr>
          <w:p w:rsidR="00211169" w:rsidRPr="002149A7" w:rsidRDefault="00211169" w:rsidP="005C7399">
            <w:pPr>
              <w:overflowPunct w:val="0"/>
              <w:autoSpaceDE w:val="0"/>
              <w:autoSpaceDN w:val="0"/>
              <w:adjustRightInd w:val="0"/>
              <w:rPr>
                <w:lang w:val="en-US"/>
              </w:rPr>
            </w:pPr>
          </w:p>
        </w:tc>
        <w:tc>
          <w:tcPr>
            <w:tcW w:w="509" w:type="dxa"/>
            <w:gridSpan w:val="2"/>
            <w:hideMark/>
          </w:tcPr>
          <w:p w:rsidR="00211169" w:rsidRPr="002149A7" w:rsidRDefault="00211169" w:rsidP="005C7399">
            <w:pPr>
              <w:overflowPunct w:val="0"/>
              <w:autoSpaceDE w:val="0"/>
              <w:autoSpaceDN w:val="0"/>
              <w:adjustRightInd w:val="0"/>
              <w:ind w:right="-122"/>
              <w:rPr>
                <w:lang w:val="en-US"/>
              </w:rPr>
            </w:pPr>
            <w:r w:rsidRPr="002149A7">
              <w:t>(2)</w:t>
            </w:r>
          </w:p>
        </w:tc>
        <w:tc>
          <w:tcPr>
            <w:tcW w:w="6540" w:type="dxa"/>
            <w:gridSpan w:val="2"/>
            <w:hideMark/>
          </w:tcPr>
          <w:p w:rsidR="00211169" w:rsidRPr="002149A7" w:rsidRDefault="00211169" w:rsidP="005C7399">
            <w:pPr>
              <w:overflowPunct w:val="0"/>
              <w:autoSpaceDE w:val="0"/>
              <w:autoSpaceDN w:val="0"/>
              <w:adjustRightInd w:val="0"/>
              <w:rPr>
                <w:lang w:val="en-US"/>
              </w:rPr>
            </w:pPr>
            <w:r w:rsidRPr="002149A7">
              <w:t>Komisyon kura çekilişlerinde hazır bulunur ve bu tüzük amaçları için gerekli görülebilecek görevleri genel olarak yapar ve üç üyesinin hazır bulunması ile yetersayı hasıl olur.</w:t>
            </w:r>
          </w:p>
        </w:tc>
      </w:tr>
      <w:tr w:rsidR="00211169" w:rsidRPr="002149A7" w:rsidTr="005C7399">
        <w:trPr>
          <w:trHeight w:val="475"/>
        </w:trPr>
        <w:tc>
          <w:tcPr>
            <w:tcW w:w="492" w:type="dxa"/>
            <w:hideMark/>
          </w:tcPr>
          <w:p w:rsidR="00211169" w:rsidRPr="002149A7" w:rsidRDefault="00211169" w:rsidP="005C7399">
            <w:pPr>
              <w:overflowPunct w:val="0"/>
              <w:autoSpaceDE w:val="0"/>
              <w:autoSpaceDN w:val="0"/>
              <w:adjustRightInd w:val="0"/>
              <w:rPr>
                <w:lang w:val="en-US"/>
              </w:rPr>
            </w:pPr>
            <w:r w:rsidRPr="002149A7">
              <w:t>4.</w:t>
            </w:r>
          </w:p>
        </w:tc>
        <w:tc>
          <w:tcPr>
            <w:tcW w:w="7049" w:type="dxa"/>
            <w:gridSpan w:val="4"/>
            <w:hideMark/>
          </w:tcPr>
          <w:p w:rsidR="00211169" w:rsidRPr="002149A7" w:rsidRDefault="00211169" w:rsidP="005C7399">
            <w:pPr>
              <w:overflowPunct w:val="0"/>
              <w:autoSpaceDE w:val="0"/>
              <w:autoSpaceDN w:val="0"/>
              <w:adjustRightInd w:val="0"/>
              <w:rPr>
                <w:lang w:val="en-US"/>
              </w:rPr>
            </w:pPr>
            <w:r w:rsidRPr="002149A7">
              <w:t>Çıkarılan bono sayısına eşit sayıda ve bundan böyle "bilet" olarak anılan biletler basılır ve bu biletler bir sayısından başlamak suretiyle birbirini izleyen sayılarla sayılandırılır.</w:t>
            </w:r>
          </w:p>
        </w:tc>
      </w:tr>
      <w:tr w:rsidR="00211169" w:rsidRPr="002149A7" w:rsidTr="005C7399">
        <w:trPr>
          <w:trHeight w:val="936"/>
        </w:trPr>
        <w:tc>
          <w:tcPr>
            <w:tcW w:w="492" w:type="dxa"/>
            <w:hideMark/>
          </w:tcPr>
          <w:p w:rsidR="00211169" w:rsidRPr="002149A7" w:rsidRDefault="00211169" w:rsidP="005C7399">
            <w:pPr>
              <w:overflowPunct w:val="0"/>
              <w:autoSpaceDE w:val="0"/>
              <w:autoSpaceDN w:val="0"/>
              <w:adjustRightInd w:val="0"/>
              <w:rPr>
                <w:lang w:val="en-US"/>
              </w:rPr>
            </w:pPr>
            <w:r w:rsidRPr="002149A7">
              <w:t>5.</w:t>
            </w:r>
          </w:p>
        </w:tc>
        <w:tc>
          <w:tcPr>
            <w:tcW w:w="509" w:type="dxa"/>
            <w:gridSpan w:val="2"/>
            <w:hideMark/>
          </w:tcPr>
          <w:p w:rsidR="00211169" w:rsidRPr="002149A7" w:rsidRDefault="00211169" w:rsidP="005C7399">
            <w:pPr>
              <w:overflowPunct w:val="0"/>
              <w:autoSpaceDE w:val="0"/>
              <w:autoSpaceDN w:val="0"/>
              <w:adjustRightInd w:val="0"/>
              <w:rPr>
                <w:lang w:val="en-US"/>
              </w:rPr>
            </w:pPr>
            <w:r w:rsidRPr="002149A7">
              <w:t>(1)</w:t>
            </w:r>
          </w:p>
        </w:tc>
        <w:tc>
          <w:tcPr>
            <w:tcW w:w="6540" w:type="dxa"/>
            <w:gridSpan w:val="2"/>
            <w:hideMark/>
          </w:tcPr>
          <w:p w:rsidR="00211169" w:rsidRPr="002149A7" w:rsidRDefault="00211169" w:rsidP="005C7399">
            <w:pPr>
              <w:overflowPunct w:val="0"/>
              <w:autoSpaceDE w:val="0"/>
              <w:autoSpaceDN w:val="0"/>
              <w:adjustRightInd w:val="0"/>
              <w:rPr>
                <w:lang w:val="en-US"/>
              </w:rPr>
            </w:pPr>
            <w:r w:rsidRPr="002149A7">
              <w:t>Küre·döner olmalı ve metalden imal edilmelidir. Bir kapısı olmalı ve kapı da üç kilitle kilitlenmelidir. Kilitlerin anahtarları Valinin atayacağı ve bundan böyle "anahtar taşıyıcıları" olarak bilinen üç üyenin muhafazasında bulundurulur. Para komiseri veya herhangi bir para memuru anahtar taşıyıcısı olamaz,</w:t>
            </w:r>
          </w:p>
        </w:tc>
      </w:tr>
      <w:tr w:rsidR="00211169" w:rsidRPr="002149A7" w:rsidTr="005C7399">
        <w:trPr>
          <w:trHeight w:val="475"/>
        </w:trPr>
        <w:tc>
          <w:tcPr>
            <w:tcW w:w="492" w:type="dxa"/>
          </w:tcPr>
          <w:p w:rsidR="00211169" w:rsidRPr="002149A7" w:rsidRDefault="00211169" w:rsidP="005C7399">
            <w:pPr>
              <w:overflowPunct w:val="0"/>
              <w:autoSpaceDE w:val="0"/>
              <w:autoSpaceDN w:val="0"/>
              <w:adjustRightInd w:val="0"/>
              <w:rPr>
                <w:lang w:val="en-US"/>
              </w:rPr>
            </w:pPr>
          </w:p>
        </w:tc>
        <w:tc>
          <w:tcPr>
            <w:tcW w:w="509" w:type="dxa"/>
            <w:gridSpan w:val="2"/>
            <w:hideMark/>
          </w:tcPr>
          <w:p w:rsidR="00211169" w:rsidRPr="002149A7" w:rsidRDefault="00211169" w:rsidP="005C7399">
            <w:pPr>
              <w:overflowPunct w:val="0"/>
              <w:autoSpaceDE w:val="0"/>
              <w:autoSpaceDN w:val="0"/>
              <w:adjustRightInd w:val="0"/>
              <w:rPr>
                <w:lang w:val="en-US"/>
              </w:rPr>
            </w:pPr>
            <w:r w:rsidRPr="002149A7">
              <w:t>(2)</w:t>
            </w:r>
          </w:p>
        </w:tc>
        <w:tc>
          <w:tcPr>
            <w:tcW w:w="6540" w:type="dxa"/>
            <w:gridSpan w:val="2"/>
            <w:hideMark/>
          </w:tcPr>
          <w:p w:rsidR="00211169" w:rsidRPr="002149A7" w:rsidRDefault="00211169" w:rsidP="005C7399">
            <w:pPr>
              <w:overflowPunct w:val="0"/>
              <w:autoSpaceDE w:val="0"/>
              <w:autoSpaceDN w:val="0"/>
              <w:adjustRightInd w:val="0"/>
              <w:rPr>
                <w:lang w:val="en-US"/>
              </w:rPr>
            </w:pPr>
            <w:r w:rsidRPr="002149A7">
              <w:t>Herhangi bir anahtar taşıyıcısının görevini yapmaktan aciz olması halinde, vali ona vekalet ederek başka bir üye atayabilir.</w:t>
            </w:r>
          </w:p>
        </w:tc>
      </w:tr>
      <w:tr w:rsidR="00211169" w:rsidRPr="002149A7" w:rsidTr="005C7399">
        <w:trPr>
          <w:trHeight w:val="705"/>
        </w:trPr>
        <w:tc>
          <w:tcPr>
            <w:tcW w:w="492" w:type="dxa"/>
            <w:hideMark/>
          </w:tcPr>
          <w:p w:rsidR="00211169" w:rsidRPr="002149A7" w:rsidRDefault="00211169" w:rsidP="005C7399">
            <w:pPr>
              <w:overflowPunct w:val="0"/>
              <w:autoSpaceDE w:val="0"/>
              <w:autoSpaceDN w:val="0"/>
              <w:adjustRightInd w:val="0"/>
              <w:rPr>
                <w:lang w:val="en-US"/>
              </w:rPr>
            </w:pPr>
            <w:r w:rsidRPr="002149A7">
              <w:t>6.</w:t>
            </w:r>
          </w:p>
        </w:tc>
        <w:tc>
          <w:tcPr>
            <w:tcW w:w="7049" w:type="dxa"/>
            <w:gridSpan w:val="4"/>
            <w:hideMark/>
          </w:tcPr>
          <w:p w:rsidR="00211169" w:rsidRPr="002149A7" w:rsidRDefault="00211169" w:rsidP="005C7399">
            <w:pPr>
              <w:overflowPunct w:val="0"/>
              <w:autoSpaceDE w:val="0"/>
              <w:autoSpaceDN w:val="0"/>
              <w:adjustRightInd w:val="0"/>
              <w:rPr>
                <w:lang w:val="en-US"/>
              </w:rPr>
            </w:pPr>
            <w:r w:rsidRPr="002149A7">
              <w:t>Biletler komisyon tarafından küreye yerleştirildikten sonra üç anahtar taşıyıcısının tümü küreyi kilitler ve bunun üzerine küre,para komiseri ile emniyet kasasının anahtarlarını tutan iki para memurunun gözetiminde emniyet kasasına yerleştirilir.</w:t>
            </w:r>
          </w:p>
        </w:tc>
      </w:tr>
      <w:tr w:rsidR="00211169" w:rsidRPr="002149A7" w:rsidTr="005C7399">
        <w:trPr>
          <w:trHeight w:val="475"/>
        </w:trPr>
        <w:tc>
          <w:tcPr>
            <w:tcW w:w="492" w:type="dxa"/>
            <w:hideMark/>
          </w:tcPr>
          <w:p w:rsidR="00211169" w:rsidRPr="002149A7" w:rsidRDefault="00211169" w:rsidP="005C7399">
            <w:pPr>
              <w:overflowPunct w:val="0"/>
              <w:autoSpaceDE w:val="0"/>
              <w:autoSpaceDN w:val="0"/>
              <w:adjustRightInd w:val="0"/>
              <w:rPr>
                <w:lang w:val="en-US"/>
              </w:rPr>
            </w:pPr>
            <w:r w:rsidRPr="002149A7">
              <w:t>7.</w:t>
            </w:r>
          </w:p>
        </w:tc>
        <w:tc>
          <w:tcPr>
            <w:tcW w:w="7049" w:type="dxa"/>
            <w:gridSpan w:val="4"/>
            <w:hideMark/>
          </w:tcPr>
          <w:p w:rsidR="00211169" w:rsidRPr="002149A7" w:rsidRDefault="00211169" w:rsidP="005C7399">
            <w:pPr>
              <w:overflowPunct w:val="0"/>
              <w:autoSpaceDE w:val="0"/>
              <w:autoSpaceDN w:val="0"/>
              <w:adjustRightInd w:val="0"/>
              <w:rPr>
                <w:lang w:val="en-US"/>
              </w:rPr>
            </w:pPr>
            <w:r w:rsidRPr="002149A7">
              <w:t>Bonolar sırayla A ve B olarak işaretlenen iki kısma ayrılır ve her kısımda 50,000 bono bulunur. Her kısmın biletleri ayrı bir küreye yerleştirilir.</w:t>
            </w:r>
          </w:p>
        </w:tc>
      </w:tr>
      <w:tr w:rsidR="00211169" w:rsidRPr="002149A7" w:rsidTr="005C7399">
        <w:trPr>
          <w:trHeight w:val="460"/>
        </w:trPr>
        <w:tc>
          <w:tcPr>
            <w:tcW w:w="492" w:type="dxa"/>
            <w:hideMark/>
          </w:tcPr>
          <w:p w:rsidR="00211169" w:rsidRPr="002149A7" w:rsidRDefault="00211169" w:rsidP="005C7399">
            <w:pPr>
              <w:overflowPunct w:val="0"/>
              <w:autoSpaceDE w:val="0"/>
              <w:autoSpaceDN w:val="0"/>
              <w:adjustRightInd w:val="0"/>
              <w:rPr>
                <w:lang w:val="en-US"/>
              </w:rPr>
            </w:pPr>
            <w:r w:rsidRPr="002149A7">
              <w:t>8.</w:t>
            </w:r>
          </w:p>
        </w:tc>
        <w:tc>
          <w:tcPr>
            <w:tcW w:w="7049" w:type="dxa"/>
            <w:gridSpan w:val="4"/>
            <w:hideMark/>
          </w:tcPr>
          <w:p w:rsidR="00211169" w:rsidRPr="002149A7" w:rsidRDefault="00211169" w:rsidP="005C7399">
            <w:pPr>
              <w:overflowPunct w:val="0"/>
              <w:autoSpaceDE w:val="0"/>
              <w:autoSpaceDN w:val="0"/>
              <w:adjustRightInd w:val="0"/>
              <w:rPr>
                <w:lang w:val="en-US"/>
              </w:rPr>
            </w:pPr>
            <w:r w:rsidRPr="002149A7">
              <w:t>A kısmı kuraları 1945 yılı Aralık ayının ilk Perşembesinden başlayarak ve 1965 yılı Eylül ayının ilk Perşembesinde sona ermek üzere her yıl Mart, Haziran, Eylül ve Aralık aylarının ilk Perşembe günü çekilir,</w:t>
            </w:r>
          </w:p>
        </w:tc>
      </w:tr>
      <w:tr w:rsidR="00211169" w:rsidRPr="002149A7" w:rsidTr="005C7399">
        <w:trPr>
          <w:trHeight w:val="475"/>
        </w:trPr>
        <w:tc>
          <w:tcPr>
            <w:tcW w:w="492" w:type="dxa"/>
            <w:hideMark/>
          </w:tcPr>
          <w:p w:rsidR="00211169" w:rsidRPr="002149A7" w:rsidRDefault="00211169" w:rsidP="005C7399">
            <w:pPr>
              <w:overflowPunct w:val="0"/>
              <w:autoSpaceDE w:val="0"/>
              <w:autoSpaceDN w:val="0"/>
              <w:adjustRightInd w:val="0"/>
              <w:rPr>
                <w:lang w:val="en-US"/>
              </w:rPr>
            </w:pPr>
            <w:r w:rsidRPr="002149A7">
              <w:t>9.</w:t>
            </w:r>
          </w:p>
        </w:tc>
        <w:tc>
          <w:tcPr>
            <w:tcW w:w="7049" w:type="dxa"/>
            <w:gridSpan w:val="4"/>
            <w:hideMark/>
          </w:tcPr>
          <w:p w:rsidR="00211169" w:rsidRPr="002149A7" w:rsidRDefault="00211169" w:rsidP="005C7399">
            <w:pPr>
              <w:overflowPunct w:val="0"/>
              <w:autoSpaceDE w:val="0"/>
              <w:autoSpaceDN w:val="0"/>
              <w:adjustRightInd w:val="0"/>
              <w:rPr>
                <w:lang w:val="en-US"/>
              </w:rPr>
            </w:pPr>
            <w:r w:rsidRPr="002149A7">
              <w:t>B kısmı binaları, 1946 yılı Ocak ayının ilk Perşembe günü başlamak ve 1965 yılı Kasım ayının ilk Perşembe günü sona ermek üzere her yıl Ocak, Mayıs, Temmuz ve Kasım aylarının ilk Perşembe günü çekilir.</w:t>
            </w:r>
          </w:p>
        </w:tc>
      </w:tr>
      <w:tr w:rsidR="00211169" w:rsidRPr="002149A7" w:rsidTr="005C7399">
        <w:trPr>
          <w:trHeight w:val="460"/>
        </w:trPr>
        <w:tc>
          <w:tcPr>
            <w:tcW w:w="492" w:type="dxa"/>
            <w:hideMark/>
          </w:tcPr>
          <w:p w:rsidR="00211169" w:rsidRPr="002149A7" w:rsidRDefault="00211169" w:rsidP="005C7399">
            <w:pPr>
              <w:overflowPunct w:val="0"/>
              <w:autoSpaceDE w:val="0"/>
              <w:autoSpaceDN w:val="0"/>
              <w:adjustRightInd w:val="0"/>
              <w:ind w:right="-150"/>
              <w:rPr>
                <w:lang w:val="en-US"/>
              </w:rPr>
            </w:pPr>
            <w:r w:rsidRPr="002149A7">
              <w:t>10.</w:t>
            </w:r>
          </w:p>
        </w:tc>
        <w:tc>
          <w:tcPr>
            <w:tcW w:w="7049" w:type="dxa"/>
            <w:gridSpan w:val="4"/>
            <w:hideMark/>
          </w:tcPr>
          <w:p w:rsidR="00211169" w:rsidRPr="002149A7" w:rsidRDefault="00211169" w:rsidP="005C7399">
            <w:pPr>
              <w:overflowPunct w:val="0"/>
              <w:autoSpaceDE w:val="0"/>
              <w:autoSpaceDN w:val="0"/>
              <w:adjustRightInd w:val="0"/>
              <w:rPr>
                <w:lang w:val="en-US"/>
              </w:rPr>
            </w:pPr>
            <w:r w:rsidRPr="002149A7">
              <w:t>Kura çekilişleri için saptanan günlerden herhangi biri bir resmi tatil gününe düşerse Baş Muhasibin saptayacağı başka bir günde çekilir.</w:t>
            </w:r>
          </w:p>
        </w:tc>
      </w:tr>
      <w:tr w:rsidR="00211169" w:rsidRPr="002149A7" w:rsidTr="005C7399">
        <w:trPr>
          <w:trHeight w:val="475"/>
        </w:trPr>
        <w:tc>
          <w:tcPr>
            <w:tcW w:w="492" w:type="dxa"/>
            <w:hideMark/>
          </w:tcPr>
          <w:p w:rsidR="00211169" w:rsidRPr="002149A7" w:rsidRDefault="00211169" w:rsidP="005C7399">
            <w:pPr>
              <w:overflowPunct w:val="0"/>
              <w:autoSpaceDE w:val="0"/>
              <w:autoSpaceDN w:val="0"/>
              <w:adjustRightInd w:val="0"/>
              <w:ind w:right="-150"/>
              <w:rPr>
                <w:lang w:val="en-US"/>
              </w:rPr>
            </w:pPr>
            <w:r w:rsidRPr="002149A7">
              <w:t>11.</w:t>
            </w:r>
          </w:p>
        </w:tc>
        <w:tc>
          <w:tcPr>
            <w:tcW w:w="7049" w:type="dxa"/>
            <w:gridSpan w:val="4"/>
            <w:hideMark/>
          </w:tcPr>
          <w:p w:rsidR="00211169" w:rsidRPr="002149A7" w:rsidRDefault="00211169" w:rsidP="005C7399">
            <w:pPr>
              <w:overflowPunct w:val="0"/>
              <w:autoSpaceDE w:val="0"/>
              <w:autoSpaceDN w:val="0"/>
              <w:adjustRightInd w:val="0"/>
              <w:rPr>
                <w:lang w:val="en-US"/>
              </w:rPr>
            </w:pPr>
            <w:r w:rsidRPr="002149A7">
              <w:t>Kura çekiliş gününde emniyet kasası açılır ve küre, üç anahtar taşıyıcısının huzurunda komisyona teslim edilir.</w:t>
            </w:r>
          </w:p>
        </w:tc>
      </w:tr>
      <w:tr w:rsidR="00211169" w:rsidRPr="002149A7" w:rsidTr="005C7399">
        <w:trPr>
          <w:trHeight w:val="705"/>
        </w:trPr>
        <w:tc>
          <w:tcPr>
            <w:tcW w:w="492" w:type="dxa"/>
            <w:hideMark/>
          </w:tcPr>
          <w:p w:rsidR="00211169" w:rsidRPr="002149A7" w:rsidRDefault="00211169" w:rsidP="005C7399">
            <w:pPr>
              <w:overflowPunct w:val="0"/>
              <w:autoSpaceDE w:val="0"/>
              <w:autoSpaceDN w:val="0"/>
              <w:adjustRightInd w:val="0"/>
              <w:ind w:right="-150"/>
              <w:rPr>
                <w:lang w:val="en-US"/>
              </w:rPr>
            </w:pPr>
            <w:r w:rsidRPr="002149A7">
              <w:t>12.</w:t>
            </w:r>
          </w:p>
        </w:tc>
        <w:tc>
          <w:tcPr>
            <w:tcW w:w="7049" w:type="dxa"/>
            <w:gridSpan w:val="4"/>
            <w:hideMark/>
          </w:tcPr>
          <w:p w:rsidR="00211169" w:rsidRPr="002149A7" w:rsidRDefault="00211169" w:rsidP="005C7399">
            <w:pPr>
              <w:rPr>
                <w:lang w:val="en-US"/>
              </w:rPr>
            </w:pPr>
            <w:r w:rsidRPr="002149A7">
              <w:t>Komisyon, küreyi kura çekilişlerinin yapılacağı yere götürür ve üç anahtar taşıyıcısı orada küreyi komisyonun huzurunda açar ve komisyonun seçtiği bir kişi, 13. Maddede öngörülen gerekli sayıda bilet çekilene kadar her defasında küreden eli ile bir bilet çeker.</w:t>
            </w:r>
          </w:p>
        </w:tc>
      </w:tr>
      <w:tr w:rsidR="00211169" w:rsidRPr="002149A7" w:rsidTr="005C7399">
        <w:trPr>
          <w:trHeight w:val="475"/>
        </w:trPr>
        <w:tc>
          <w:tcPr>
            <w:tcW w:w="492" w:type="dxa"/>
            <w:hideMark/>
          </w:tcPr>
          <w:p w:rsidR="00211169" w:rsidRPr="002149A7" w:rsidRDefault="00211169" w:rsidP="005C7399">
            <w:pPr>
              <w:overflowPunct w:val="0"/>
              <w:autoSpaceDE w:val="0"/>
              <w:autoSpaceDN w:val="0"/>
              <w:adjustRightInd w:val="0"/>
              <w:ind w:right="-150"/>
              <w:rPr>
                <w:lang w:val="en-US"/>
              </w:rPr>
            </w:pPr>
            <w:r w:rsidRPr="002149A7">
              <w:t>13.</w:t>
            </w:r>
          </w:p>
        </w:tc>
        <w:tc>
          <w:tcPr>
            <w:tcW w:w="7049" w:type="dxa"/>
            <w:gridSpan w:val="4"/>
            <w:hideMark/>
          </w:tcPr>
          <w:p w:rsidR="00211169" w:rsidRPr="002149A7" w:rsidRDefault="00211169" w:rsidP="005C7399">
            <w:pPr>
              <w:overflowPunct w:val="0"/>
              <w:autoSpaceDE w:val="0"/>
              <w:autoSpaceDN w:val="0"/>
              <w:adjustRightInd w:val="0"/>
              <w:rPr>
                <w:lang w:val="en-US"/>
              </w:rPr>
            </w:pPr>
            <w:r w:rsidRPr="002149A7">
              <w:t>Her kura çekilişinde 41 bilet çekilir ve çekilen biletlerin sayısı ile aynı sayıyı taşıyan bonolar, bunun üzerine ikramiye dahil aşağıdaki değerlerde itfa için çekilmiş sayılırlar.</w:t>
            </w:r>
          </w:p>
        </w:tc>
      </w:tr>
      <w:tr w:rsidR="00211169" w:rsidRPr="002149A7" w:rsidTr="005C7399">
        <w:trPr>
          <w:trHeight w:val="230"/>
        </w:trPr>
        <w:tc>
          <w:tcPr>
            <w:tcW w:w="492" w:type="dxa"/>
          </w:tcPr>
          <w:p w:rsidR="00211169" w:rsidRPr="002149A7" w:rsidRDefault="00211169" w:rsidP="005C7399">
            <w:pPr>
              <w:overflowPunct w:val="0"/>
              <w:autoSpaceDE w:val="0"/>
              <w:autoSpaceDN w:val="0"/>
              <w:adjustRightInd w:val="0"/>
              <w:ind w:right="-150"/>
              <w:rPr>
                <w:lang w:val="en-US"/>
              </w:rPr>
            </w:pPr>
          </w:p>
        </w:tc>
        <w:tc>
          <w:tcPr>
            <w:tcW w:w="552" w:type="dxa"/>
            <w:gridSpan w:val="3"/>
            <w:hideMark/>
          </w:tcPr>
          <w:p w:rsidR="00211169" w:rsidRPr="002149A7" w:rsidRDefault="00211169" w:rsidP="005C7399">
            <w:pPr>
              <w:overflowPunct w:val="0"/>
              <w:autoSpaceDE w:val="0"/>
              <w:autoSpaceDN w:val="0"/>
              <w:adjustRightInd w:val="0"/>
              <w:rPr>
                <w:lang w:val="en-US"/>
              </w:rPr>
            </w:pPr>
            <w:r w:rsidRPr="002149A7">
              <w:t>(a)</w:t>
            </w:r>
          </w:p>
        </w:tc>
        <w:tc>
          <w:tcPr>
            <w:tcW w:w="6497" w:type="dxa"/>
            <w:hideMark/>
          </w:tcPr>
          <w:p w:rsidR="00211169" w:rsidRPr="002149A7" w:rsidRDefault="00211169" w:rsidP="005C7399">
            <w:pPr>
              <w:overflowPunct w:val="0"/>
              <w:autoSpaceDE w:val="0"/>
              <w:autoSpaceDN w:val="0"/>
              <w:adjustRightInd w:val="0"/>
              <w:rPr>
                <w:lang w:val="en-US"/>
              </w:rPr>
            </w:pPr>
            <w:r w:rsidRPr="002149A7">
              <w:t>İlk çekilen biletin sayısı ile aynı sayıyı taşıyan bono £400 karşılığı itfa edilir;</w:t>
            </w:r>
          </w:p>
        </w:tc>
      </w:tr>
      <w:tr w:rsidR="00211169" w:rsidRPr="002149A7" w:rsidTr="005C7399">
        <w:trPr>
          <w:trHeight w:val="475"/>
        </w:trPr>
        <w:tc>
          <w:tcPr>
            <w:tcW w:w="492" w:type="dxa"/>
          </w:tcPr>
          <w:p w:rsidR="00211169" w:rsidRPr="002149A7" w:rsidRDefault="00211169" w:rsidP="005C7399">
            <w:pPr>
              <w:overflowPunct w:val="0"/>
              <w:autoSpaceDE w:val="0"/>
              <w:autoSpaceDN w:val="0"/>
              <w:adjustRightInd w:val="0"/>
              <w:ind w:right="-150"/>
              <w:rPr>
                <w:lang w:val="en-US"/>
              </w:rPr>
            </w:pPr>
          </w:p>
        </w:tc>
        <w:tc>
          <w:tcPr>
            <w:tcW w:w="552" w:type="dxa"/>
            <w:gridSpan w:val="3"/>
            <w:hideMark/>
          </w:tcPr>
          <w:p w:rsidR="00211169" w:rsidRPr="002149A7" w:rsidRDefault="00211169" w:rsidP="005C7399">
            <w:pPr>
              <w:overflowPunct w:val="0"/>
              <w:autoSpaceDE w:val="0"/>
              <w:autoSpaceDN w:val="0"/>
              <w:adjustRightInd w:val="0"/>
              <w:rPr>
                <w:lang w:val="en-US"/>
              </w:rPr>
            </w:pPr>
            <w:r w:rsidRPr="002149A7">
              <w:t>(b)</w:t>
            </w:r>
          </w:p>
        </w:tc>
        <w:tc>
          <w:tcPr>
            <w:tcW w:w="6497" w:type="dxa"/>
            <w:hideMark/>
          </w:tcPr>
          <w:p w:rsidR="00211169" w:rsidRPr="002149A7" w:rsidRDefault="00211169" w:rsidP="005C7399">
            <w:pPr>
              <w:overflowPunct w:val="0"/>
              <w:autoSpaceDE w:val="0"/>
              <w:autoSpaceDN w:val="0"/>
              <w:adjustRightInd w:val="0"/>
              <w:rPr>
                <w:lang w:val="en-US"/>
              </w:rPr>
            </w:pPr>
            <w:r w:rsidRPr="002149A7">
              <w:t>Müteakiben bononun çekilen iki biletin sayıları ile aynı sayıları taşıyan iki bononun her biri £100 karşılığı itfa edilir;</w:t>
            </w:r>
          </w:p>
        </w:tc>
      </w:tr>
      <w:tr w:rsidR="00211169" w:rsidRPr="002149A7" w:rsidTr="005C7399">
        <w:trPr>
          <w:trHeight w:val="460"/>
        </w:trPr>
        <w:tc>
          <w:tcPr>
            <w:tcW w:w="492" w:type="dxa"/>
          </w:tcPr>
          <w:p w:rsidR="00211169" w:rsidRPr="002149A7" w:rsidRDefault="00211169" w:rsidP="005C7399">
            <w:pPr>
              <w:overflowPunct w:val="0"/>
              <w:autoSpaceDE w:val="0"/>
              <w:autoSpaceDN w:val="0"/>
              <w:adjustRightInd w:val="0"/>
              <w:ind w:right="-150"/>
              <w:rPr>
                <w:lang w:val="en-US"/>
              </w:rPr>
            </w:pPr>
          </w:p>
        </w:tc>
        <w:tc>
          <w:tcPr>
            <w:tcW w:w="552" w:type="dxa"/>
            <w:gridSpan w:val="3"/>
            <w:hideMark/>
          </w:tcPr>
          <w:p w:rsidR="00211169" w:rsidRPr="002149A7" w:rsidRDefault="00211169" w:rsidP="005C7399">
            <w:pPr>
              <w:overflowPunct w:val="0"/>
              <w:autoSpaceDE w:val="0"/>
              <w:autoSpaceDN w:val="0"/>
              <w:adjustRightInd w:val="0"/>
              <w:rPr>
                <w:lang w:val="en-US"/>
              </w:rPr>
            </w:pPr>
            <w:r w:rsidRPr="002149A7">
              <w:t>(c)</w:t>
            </w:r>
          </w:p>
        </w:tc>
        <w:tc>
          <w:tcPr>
            <w:tcW w:w="6497" w:type="dxa"/>
            <w:hideMark/>
          </w:tcPr>
          <w:p w:rsidR="00211169" w:rsidRPr="002149A7" w:rsidRDefault="00211169" w:rsidP="005C7399">
            <w:pPr>
              <w:overflowPunct w:val="0"/>
              <w:autoSpaceDE w:val="0"/>
              <w:autoSpaceDN w:val="0"/>
              <w:adjustRightInd w:val="0"/>
              <w:rPr>
                <w:lang w:val="en-US"/>
              </w:rPr>
            </w:pPr>
            <w:r w:rsidRPr="002149A7">
              <w:t>Müteakiben çekilen sekiz biletin sayıları ile aynı sayıları taşıyan sekiz bonunun her biri £50 karşılığı itfa edilir;</w:t>
            </w:r>
          </w:p>
        </w:tc>
      </w:tr>
      <w:tr w:rsidR="00211169" w:rsidRPr="002149A7" w:rsidTr="005C7399">
        <w:trPr>
          <w:trHeight w:val="951"/>
        </w:trPr>
        <w:tc>
          <w:tcPr>
            <w:tcW w:w="492" w:type="dxa"/>
          </w:tcPr>
          <w:p w:rsidR="00211169" w:rsidRPr="002149A7" w:rsidRDefault="00211169" w:rsidP="005C7399">
            <w:pPr>
              <w:overflowPunct w:val="0"/>
              <w:autoSpaceDE w:val="0"/>
              <w:autoSpaceDN w:val="0"/>
              <w:adjustRightInd w:val="0"/>
              <w:ind w:right="-150"/>
              <w:rPr>
                <w:lang w:val="en-US"/>
              </w:rPr>
            </w:pPr>
          </w:p>
        </w:tc>
        <w:tc>
          <w:tcPr>
            <w:tcW w:w="552" w:type="dxa"/>
            <w:gridSpan w:val="3"/>
            <w:hideMark/>
          </w:tcPr>
          <w:p w:rsidR="00211169" w:rsidRPr="002149A7" w:rsidRDefault="00211169" w:rsidP="005C7399">
            <w:pPr>
              <w:overflowPunct w:val="0"/>
              <w:autoSpaceDE w:val="0"/>
              <w:autoSpaceDN w:val="0"/>
              <w:adjustRightInd w:val="0"/>
              <w:rPr>
                <w:lang w:val="en-US"/>
              </w:rPr>
            </w:pPr>
            <w:r w:rsidRPr="002149A7">
              <w:t>(d)</w:t>
            </w:r>
          </w:p>
        </w:tc>
        <w:tc>
          <w:tcPr>
            <w:tcW w:w="6497" w:type="dxa"/>
            <w:hideMark/>
          </w:tcPr>
          <w:p w:rsidR="00211169" w:rsidRPr="002149A7" w:rsidRDefault="00211169" w:rsidP="005C7399">
            <w:pPr>
              <w:rPr>
                <w:lang w:val="en-US"/>
              </w:rPr>
            </w:pPr>
            <w:r w:rsidRPr="002149A7">
              <w:t>Müteakiben çekilen otuz biletin sayıları ile aynı sayıları taşıyan otuz bononun her biri £25 karşılığı itfa edilir.</w:t>
            </w:r>
          </w:p>
          <w:p w:rsidR="00211169" w:rsidRPr="002149A7" w:rsidRDefault="00211169" w:rsidP="005C7399">
            <w:pPr>
              <w:overflowPunct w:val="0"/>
              <w:autoSpaceDE w:val="0"/>
              <w:autoSpaceDN w:val="0"/>
              <w:adjustRightInd w:val="0"/>
              <w:rPr>
                <w:lang w:val="en-US"/>
              </w:rPr>
            </w:pPr>
            <w:r w:rsidRPr="002149A7">
              <w:t>Ancak, ikramiyeler her kısımdaki tüm £50,000 bono ile alınana kadar orantılı olarak azaltılır.</w:t>
            </w:r>
          </w:p>
        </w:tc>
      </w:tr>
      <w:tr w:rsidR="00211169" w:rsidRPr="002149A7" w:rsidTr="005C7399">
        <w:trPr>
          <w:trHeight w:val="460"/>
        </w:trPr>
        <w:tc>
          <w:tcPr>
            <w:tcW w:w="492" w:type="dxa"/>
            <w:hideMark/>
          </w:tcPr>
          <w:p w:rsidR="00211169" w:rsidRPr="002149A7" w:rsidRDefault="00211169" w:rsidP="005C7399">
            <w:pPr>
              <w:overflowPunct w:val="0"/>
              <w:autoSpaceDE w:val="0"/>
              <w:autoSpaceDN w:val="0"/>
              <w:adjustRightInd w:val="0"/>
              <w:ind w:right="-150"/>
              <w:rPr>
                <w:lang w:val="en-US"/>
              </w:rPr>
            </w:pPr>
            <w:r w:rsidRPr="002149A7">
              <w:t>14.</w:t>
            </w:r>
          </w:p>
        </w:tc>
        <w:tc>
          <w:tcPr>
            <w:tcW w:w="7049" w:type="dxa"/>
            <w:gridSpan w:val="4"/>
            <w:hideMark/>
          </w:tcPr>
          <w:p w:rsidR="00211169" w:rsidRPr="002149A7" w:rsidRDefault="00211169" w:rsidP="005C7399">
            <w:pPr>
              <w:overflowPunct w:val="0"/>
              <w:autoSpaceDE w:val="0"/>
              <w:autoSpaceDN w:val="0"/>
              <w:adjustRightInd w:val="0"/>
              <w:rPr>
                <w:lang w:val="en-US"/>
              </w:rPr>
            </w:pPr>
            <w:r w:rsidRPr="002149A7">
              <w:t>Çekilişten sonra küre üç anahtar taşıyıcısı tarafından kilitlenir ve tekrar emniyet kasasına yerleştirilmek üzere para komiseri ile iki para memuruna iade edilir.</w:t>
            </w:r>
          </w:p>
        </w:tc>
      </w:tr>
      <w:tr w:rsidR="00211169" w:rsidRPr="002149A7" w:rsidTr="005C7399">
        <w:trPr>
          <w:trHeight w:val="245"/>
        </w:trPr>
        <w:tc>
          <w:tcPr>
            <w:tcW w:w="492" w:type="dxa"/>
            <w:hideMark/>
          </w:tcPr>
          <w:p w:rsidR="00211169" w:rsidRPr="002149A7" w:rsidRDefault="00211169" w:rsidP="005C7399">
            <w:pPr>
              <w:overflowPunct w:val="0"/>
              <w:autoSpaceDE w:val="0"/>
              <w:autoSpaceDN w:val="0"/>
              <w:adjustRightInd w:val="0"/>
              <w:ind w:right="-39"/>
              <w:rPr>
                <w:lang w:val="en-US"/>
              </w:rPr>
            </w:pPr>
            <w:r w:rsidRPr="002149A7">
              <w:t>15.</w:t>
            </w:r>
          </w:p>
        </w:tc>
        <w:tc>
          <w:tcPr>
            <w:tcW w:w="7049" w:type="dxa"/>
            <w:gridSpan w:val="4"/>
            <w:hideMark/>
          </w:tcPr>
          <w:p w:rsidR="00211169" w:rsidRPr="002149A7" w:rsidRDefault="00211169" w:rsidP="005C7399">
            <w:pPr>
              <w:overflowPunct w:val="0"/>
              <w:autoSpaceDE w:val="0"/>
              <w:autoSpaceDN w:val="0"/>
              <w:adjustRightInd w:val="0"/>
              <w:rPr>
                <w:lang w:val="en-US"/>
              </w:rPr>
            </w:pPr>
            <w:r w:rsidRPr="002149A7">
              <w:t>Kura ile çekilen her bononun sayısı ile itfa edileceği değeri, Resmi Gazete'de yayınlanır.</w:t>
            </w:r>
          </w:p>
        </w:tc>
      </w:tr>
      <w:tr w:rsidR="00211169" w:rsidRPr="002149A7" w:rsidTr="005C7399">
        <w:trPr>
          <w:trHeight w:val="460"/>
        </w:trPr>
        <w:tc>
          <w:tcPr>
            <w:tcW w:w="492" w:type="dxa"/>
            <w:hideMark/>
          </w:tcPr>
          <w:p w:rsidR="00211169" w:rsidRPr="002149A7" w:rsidRDefault="00211169" w:rsidP="005C7399">
            <w:pPr>
              <w:overflowPunct w:val="0"/>
              <w:autoSpaceDE w:val="0"/>
              <w:autoSpaceDN w:val="0"/>
              <w:adjustRightInd w:val="0"/>
              <w:ind w:right="-39"/>
              <w:rPr>
                <w:lang w:val="en-US"/>
              </w:rPr>
            </w:pPr>
            <w:r w:rsidRPr="002149A7">
              <w:t>16.</w:t>
            </w:r>
          </w:p>
        </w:tc>
        <w:tc>
          <w:tcPr>
            <w:tcW w:w="552" w:type="dxa"/>
            <w:gridSpan w:val="3"/>
            <w:hideMark/>
          </w:tcPr>
          <w:p w:rsidR="00211169" w:rsidRPr="002149A7" w:rsidRDefault="00211169" w:rsidP="005C7399">
            <w:pPr>
              <w:overflowPunct w:val="0"/>
              <w:autoSpaceDE w:val="0"/>
              <w:autoSpaceDN w:val="0"/>
              <w:adjustRightInd w:val="0"/>
              <w:rPr>
                <w:lang w:val="en-US"/>
              </w:rPr>
            </w:pPr>
            <w:r w:rsidRPr="002149A7">
              <w:t>(1)</w:t>
            </w:r>
          </w:p>
        </w:tc>
        <w:tc>
          <w:tcPr>
            <w:tcW w:w="6497" w:type="dxa"/>
            <w:hideMark/>
          </w:tcPr>
          <w:p w:rsidR="00211169" w:rsidRPr="002149A7" w:rsidRDefault="00211169" w:rsidP="005C7399">
            <w:pPr>
              <w:overflowPunct w:val="0"/>
              <w:autoSpaceDE w:val="0"/>
              <w:autoSpaceDN w:val="0"/>
              <w:adjustRightInd w:val="0"/>
              <w:rPr>
                <w:lang w:val="en-US"/>
              </w:rPr>
            </w:pPr>
            <w:r w:rsidRPr="002149A7">
              <w:t>Kura ile çekilen herhangi bir bono için herhangi bir para talep eden kişiler çekilişten sonraki onuncu gün veya daha sonra bonoyu bir banka veya kooperatif şirketine ibraz eder.</w:t>
            </w:r>
          </w:p>
        </w:tc>
      </w:tr>
      <w:tr w:rsidR="00211169" w:rsidRPr="002149A7" w:rsidTr="005C7399">
        <w:trPr>
          <w:trHeight w:val="951"/>
        </w:trPr>
        <w:tc>
          <w:tcPr>
            <w:tcW w:w="492" w:type="dxa"/>
          </w:tcPr>
          <w:p w:rsidR="00211169" w:rsidRPr="002149A7" w:rsidRDefault="00211169" w:rsidP="005C7399">
            <w:pPr>
              <w:overflowPunct w:val="0"/>
              <w:autoSpaceDE w:val="0"/>
              <w:autoSpaceDN w:val="0"/>
              <w:adjustRightInd w:val="0"/>
              <w:ind w:right="-39"/>
              <w:rPr>
                <w:lang w:val="en-US"/>
              </w:rPr>
            </w:pPr>
          </w:p>
        </w:tc>
        <w:tc>
          <w:tcPr>
            <w:tcW w:w="552" w:type="dxa"/>
            <w:gridSpan w:val="3"/>
            <w:hideMark/>
          </w:tcPr>
          <w:p w:rsidR="00211169" w:rsidRPr="002149A7" w:rsidRDefault="00211169" w:rsidP="005C7399">
            <w:pPr>
              <w:overflowPunct w:val="0"/>
              <w:autoSpaceDE w:val="0"/>
              <w:autoSpaceDN w:val="0"/>
              <w:adjustRightInd w:val="0"/>
              <w:rPr>
                <w:lang w:val="en-US"/>
              </w:rPr>
            </w:pPr>
            <w:r w:rsidRPr="002149A7">
              <w:t>(2)</w:t>
            </w:r>
          </w:p>
        </w:tc>
        <w:tc>
          <w:tcPr>
            <w:tcW w:w="6497" w:type="dxa"/>
            <w:hideMark/>
          </w:tcPr>
          <w:p w:rsidR="00211169" w:rsidRPr="002149A7" w:rsidRDefault="00211169" w:rsidP="005C7399">
            <w:pPr>
              <w:overflowPunct w:val="0"/>
              <w:autoSpaceDE w:val="0"/>
              <w:autoSpaceDN w:val="0"/>
              <w:adjustRightInd w:val="0"/>
              <w:rPr>
                <w:lang w:val="en-US"/>
              </w:rPr>
            </w:pPr>
            <w:r w:rsidRPr="002149A7">
              <w:t>Kura ile çekilen bonolarla ilgili olarak ödenmeleri gereken paralar yukarıdaki (1)'inci f ıkrada öngörüldüğü şekilde ilgili bononun ibraz edildiği aynı banka veya kooperatif Şirketi tarafından bononun ibraz edildiği tarihten sonraki beşinci gün veya daha sonra ödenir ve ödeme bononun iptali için teslimi üzerine bonoyu ibraz eden kişiye yapılır.</w:t>
            </w:r>
          </w:p>
        </w:tc>
      </w:tr>
      <w:tr w:rsidR="00211169" w:rsidRPr="002149A7" w:rsidTr="005C7399">
        <w:trPr>
          <w:trHeight w:val="705"/>
        </w:trPr>
        <w:tc>
          <w:tcPr>
            <w:tcW w:w="492" w:type="dxa"/>
            <w:hideMark/>
          </w:tcPr>
          <w:p w:rsidR="00211169" w:rsidRPr="002149A7" w:rsidRDefault="00211169" w:rsidP="005C7399">
            <w:pPr>
              <w:overflowPunct w:val="0"/>
              <w:autoSpaceDE w:val="0"/>
              <w:autoSpaceDN w:val="0"/>
              <w:adjustRightInd w:val="0"/>
              <w:ind w:right="-39"/>
              <w:rPr>
                <w:lang w:val="en-US"/>
              </w:rPr>
            </w:pPr>
            <w:r w:rsidRPr="002149A7">
              <w:t>17.</w:t>
            </w:r>
          </w:p>
        </w:tc>
        <w:tc>
          <w:tcPr>
            <w:tcW w:w="7049" w:type="dxa"/>
            <w:gridSpan w:val="4"/>
          </w:tcPr>
          <w:p w:rsidR="00211169" w:rsidRPr="002149A7" w:rsidRDefault="00211169" w:rsidP="005C7399">
            <w:pPr>
              <w:rPr>
                <w:lang w:val="en-US"/>
              </w:rPr>
            </w:pPr>
            <w:r w:rsidRPr="002149A7">
              <w:t>Kurada çekilmeyen bonolar 1 Aralık 1965 tarihinde veya daha sonra bononun iptali için ibrazı üzerine herhangi bir banka veya Hazine veya Muhasebe Dairesinde parite üzerinden itfa edilir.</w:t>
            </w:r>
          </w:p>
        </w:tc>
      </w:tr>
    </w:tbl>
    <w:p w:rsidR="00211169" w:rsidRPr="002149A7" w:rsidRDefault="00211169" w:rsidP="00211169">
      <w:pPr>
        <w:rPr>
          <w:lang w:val="en-US"/>
        </w:rPr>
      </w:pPr>
    </w:p>
    <w:p w:rsidR="00B713C1" w:rsidRDefault="00211169" w:rsidP="00211169">
      <w:r w:rsidRPr="002149A7">
        <w:br w:type="page"/>
      </w:r>
      <w:bookmarkStart w:id="0" w:name="_GoBack"/>
      <w:bookmarkEnd w:id="0"/>
    </w:p>
    <w:sectPr w:rsidR="00B71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D6"/>
    <w:rsid w:val="00211169"/>
    <w:rsid w:val="00544AD6"/>
    <w:rsid w:val="00B71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69"/>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69"/>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C67B7-CC4A-4919-970B-1C1EEFE6FEA2}"/>
</file>

<file path=customXml/itemProps2.xml><?xml version="1.0" encoding="utf-8"?>
<ds:datastoreItem xmlns:ds="http://schemas.openxmlformats.org/officeDocument/2006/customXml" ds:itemID="{29EDF4BA-176D-4CF0-98A3-C5A488321552}"/>
</file>

<file path=customXml/itemProps3.xml><?xml version="1.0" encoding="utf-8"?>
<ds:datastoreItem xmlns:ds="http://schemas.openxmlformats.org/officeDocument/2006/customXml" ds:itemID="{468EB54E-A391-43C0-9BBC-65B58C91B5FA}"/>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2016-01-25T12:12:00Z</dcterms:created>
  <dcterms:modified xsi:type="dcterms:W3CDTF">2016-01-25T12:12:00Z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