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ook w:val="01E0" w:firstRow="1" w:lastRow="1" w:firstColumn="1" w:lastColumn="1" w:noHBand="0" w:noVBand="0"/>
      </w:tblPr>
      <w:tblGrid>
        <w:gridCol w:w="738"/>
        <w:gridCol w:w="668"/>
        <w:gridCol w:w="7491"/>
      </w:tblGrid>
      <w:tr w:rsidR="00937F82" w:rsidRPr="002149A7" w:rsidTr="00937F82">
        <w:trPr>
          <w:trHeight w:val="1024"/>
        </w:trPr>
        <w:tc>
          <w:tcPr>
            <w:tcW w:w="8897" w:type="dxa"/>
            <w:gridSpan w:val="3"/>
            <w:hideMark/>
          </w:tcPr>
          <w:p w:rsidR="00937F82" w:rsidRDefault="00937F82" w:rsidP="005C7399">
            <w:pPr>
              <w:jc w:val="center"/>
            </w:pPr>
            <w:r w:rsidRPr="002149A7">
              <w:t>FASIL 147,</w:t>
            </w:r>
          </w:p>
          <w:p w:rsidR="00937F82" w:rsidRPr="002149A7" w:rsidRDefault="00937F82" w:rsidP="005C7399">
            <w:pPr>
              <w:jc w:val="center"/>
            </w:pPr>
            <w:bookmarkStart w:id="0" w:name="_GoBack"/>
            <w:bookmarkEnd w:id="0"/>
            <w:r w:rsidRPr="002149A7">
              <w:t>TÜTÜN YASASI</w:t>
            </w:r>
          </w:p>
          <w:p w:rsidR="00937F82" w:rsidRPr="002149A7" w:rsidRDefault="00937F82" w:rsidP="005C7399">
            <w:pPr>
              <w:overflowPunct w:val="0"/>
              <w:autoSpaceDE w:val="0"/>
              <w:autoSpaceDN w:val="0"/>
              <w:adjustRightInd w:val="0"/>
              <w:jc w:val="center"/>
              <w:rPr>
                <w:color w:val="000000"/>
                <w:lang w:val="en-US"/>
              </w:rPr>
            </w:pPr>
            <w:r w:rsidRPr="002149A7">
              <w:t>(37/1983 SAYILI GÜMRÜK VE İSTİHSAL YASASI İLE YÜRÜRLÜKTEN KALDIRILDI)</w:t>
            </w:r>
          </w:p>
        </w:tc>
      </w:tr>
      <w:tr w:rsidR="00937F82" w:rsidRPr="002149A7" w:rsidTr="00937F82">
        <w:trPr>
          <w:trHeight w:val="328"/>
        </w:trPr>
        <w:tc>
          <w:tcPr>
            <w:tcW w:w="8897" w:type="dxa"/>
            <w:gridSpan w:val="3"/>
            <w:hideMark/>
          </w:tcPr>
          <w:p w:rsidR="00937F82" w:rsidRPr="002149A7" w:rsidRDefault="00937F82" w:rsidP="005C7399">
            <w:pPr>
              <w:overflowPunct w:val="0"/>
              <w:autoSpaceDE w:val="0"/>
              <w:autoSpaceDN w:val="0"/>
              <w:adjustRightInd w:val="0"/>
              <w:jc w:val="center"/>
              <w:rPr>
                <w:color w:val="000000"/>
                <w:lang w:val="en-US"/>
              </w:rPr>
            </w:pPr>
            <w:r w:rsidRPr="002149A7">
              <w:t>71 (1) (a) Maddesi Uyarınca Yayınlanan Tüzük.</w:t>
            </w:r>
          </w:p>
        </w:tc>
      </w:tr>
      <w:tr w:rsidR="00937F82" w:rsidRPr="002149A7" w:rsidTr="00937F82">
        <w:trPr>
          <w:trHeight w:val="328"/>
        </w:trPr>
        <w:tc>
          <w:tcPr>
            <w:tcW w:w="8897" w:type="dxa"/>
            <w:gridSpan w:val="3"/>
            <w:hideMark/>
          </w:tcPr>
          <w:p w:rsidR="00937F82" w:rsidRPr="002149A7" w:rsidRDefault="00937F82" w:rsidP="005C7399">
            <w:pPr>
              <w:overflowPunct w:val="0"/>
              <w:autoSpaceDE w:val="0"/>
              <w:autoSpaceDN w:val="0"/>
              <w:adjustRightInd w:val="0"/>
              <w:jc w:val="right"/>
              <w:rPr>
                <w:color w:val="000000"/>
                <w:lang w:val="en-US"/>
              </w:rPr>
            </w:pPr>
            <w:r w:rsidRPr="002149A7">
              <w:t>M.M.S. 326</w:t>
            </w:r>
          </w:p>
        </w:tc>
      </w:tr>
      <w:tr w:rsidR="00937F82" w:rsidRPr="002149A7" w:rsidTr="00937F82">
        <w:trPr>
          <w:trHeight w:val="349"/>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1.</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Bu Tüzük, Tütün Antrepoları Tüzüğü olarak isimlendirilir.</w:t>
            </w:r>
          </w:p>
        </w:tc>
      </w:tr>
      <w:tr w:rsidR="00937F82" w:rsidRPr="002149A7" w:rsidTr="00937F82">
        <w:trPr>
          <w:trHeight w:val="1001"/>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2.</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Bir yerin tütün antreposu olarak tahsis edilmesi ile ilgili dilekçeler yazılı olarak Gümrük ve Ruhsumat Dairesine yapılır ve yer ve binanın bir planı eşliğinde verilir ve aşağıdakileri içerir:-</w:t>
            </w:r>
          </w:p>
        </w:tc>
      </w:tr>
      <w:tr w:rsidR="00937F82" w:rsidRPr="002149A7" w:rsidTr="00937F82">
        <w:trPr>
          <w:trHeight w:val="328"/>
        </w:trPr>
        <w:tc>
          <w:tcPr>
            <w:tcW w:w="738" w:type="dxa"/>
          </w:tcPr>
          <w:p w:rsidR="00937F82" w:rsidRPr="002149A7" w:rsidRDefault="00937F82" w:rsidP="005C7399">
            <w:pPr>
              <w:overflowPunct w:val="0"/>
              <w:autoSpaceDE w:val="0"/>
              <w:autoSpaceDN w:val="0"/>
              <w:adjustRightInd w:val="0"/>
              <w:rPr>
                <w:color w:val="000000"/>
                <w:lang w:val="en-US"/>
              </w:rPr>
            </w:pP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(a)</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Bina ve yerin niteliği, hacmi ve mevkii</w:t>
            </w:r>
          </w:p>
        </w:tc>
      </w:tr>
      <w:tr w:rsidR="00937F82" w:rsidRPr="002149A7" w:rsidTr="00937F82">
        <w:trPr>
          <w:trHeight w:val="674"/>
        </w:trPr>
        <w:tc>
          <w:tcPr>
            <w:tcW w:w="738" w:type="dxa"/>
          </w:tcPr>
          <w:p w:rsidR="00937F82" w:rsidRPr="002149A7" w:rsidRDefault="00937F82" w:rsidP="005C7399">
            <w:pPr>
              <w:overflowPunct w:val="0"/>
              <w:autoSpaceDE w:val="0"/>
              <w:autoSpaceDN w:val="0"/>
              <w:adjustRightInd w:val="0"/>
              <w:rPr>
                <w:color w:val="000000"/>
                <w:lang w:val="en-US"/>
              </w:rPr>
            </w:pP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(b)</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Bina ve yerin sahibinin adı; Tapu Dairesi defterindeki adı verilmeli ve ilgili kayda değinilmelidir;</w:t>
            </w:r>
          </w:p>
        </w:tc>
      </w:tr>
      <w:tr w:rsidR="00937F82" w:rsidRPr="002149A7" w:rsidTr="00937F82">
        <w:trPr>
          <w:trHeight w:val="1655"/>
        </w:trPr>
        <w:tc>
          <w:tcPr>
            <w:tcW w:w="738" w:type="dxa"/>
          </w:tcPr>
          <w:p w:rsidR="00937F82" w:rsidRPr="002149A7" w:rsidRDefault="00937F82" w:rsidP="005C7399">
            <w:pPr>
              <w:overflowPunct w:val="0"/>
              <w:autoSpaceDE w:val="0"/>
              <w:autoSpaceDN w:val="0"/>
              <w:adjustRightInd w:val="0"/>
              <w:rPr>
                <w:color w:val="000000"/>
                <w:lang w:val="en-US"/>
              </w:rPr>
            </w:pP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(c)</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Bina ve yerin tütün antreposu tahsis edilmesini isteyen işgalcinin adı ve mal sahibi ile işgalci ayrı kişiler olduğunda, dilekçeyi her ikisi de imzalamalı ve bina ve yeri işgalinde bulunduran kişi bina ve yeri işgal etmesine yetki veren icar senedini veya aslına mutabık bir suretini ibraz etmelidir.</w:t>
            </w:r>
          </w:p>
        </w:tc>
      </w:tr>
      <w:tr w:rsidR="00937F82" w:rsidRPr="002149A7" w:rsidTr="00937F82">
        <w:trPr>
          <w:trHeight w:val="674"/>
        </w:trPr>
        <w:tc>
          <w:tcPr>
            <w:tcW w:w="738" w:type="dxa"/>
          </w:tcPr>
          <w:p w:rsidR="00937F82" w:rsidRPr="002149A7" w:rsidRDefault="00937F82" w:rsidP="005C7399">
            <w:pPr>
              <w:overflowPunct w:val="0"/>
              <w:autoSpaceDE w:val="0"/>
              <w:autoSpaceDN w:val="0"/>
              <w:adjustRightInd w:val="0"/>
              <w:rPr>
                <w:color w:val="000000"/>
                <w:lang w:val="en-US"/>
              </w:rPr>
            </w:pP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(d)</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Bina ve yerin tütün veya işlemini tütün veya işlenmiş tütün veya her ikisinin de antrepolanması için tasarlandığı.</w:t>
            </w:r>
          </w:p>
        </w:tc>
      </w:tr>
      <w:tr w:rsidR="00937F82" w:rsidRPr="002149A7" w:rsidTr="00937F82">
        <w:trPr>
          <w:trHeight w:val="1655"/>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3.</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Gümrük Ruhsumat Dairesi Müdürü, herhangi bir tütün antreposu tayin etmeden önce, uygun göreceği şekilde, bina ve yerin ek plân, harita veya tarifinin yapılmasını ve bunlara ilave veya değişiklikler yapılmasını isteyebilir ve son olarak revize edilen ve onaylanan plân, harita ve tarifin bir sureti Gümrük ve Ruhsumat Dairesi Müdürü Dairesinde dosyalanır.</w:t>
            </w:r>
          </w:p>
        </w:tc>
      </w:tr>
      <w:tr w:rsidR="00937F82" w:rsidRPr="002149A7" w:rsidTr="00937F82">
        <w:trPr>
          <w:trHeight w:val="1676"/>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4.</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Bir tütün antreposuna herhangi bir tütün veya işlenmiş tütün götürülmeden önce gümrük ve Ruhsumat Dairesi Müdürünün, tüm tütün veya işlenmiş tütün paketlerindeki tütün miktarının sayısı ağırlığı ve işaretlerini kontrol edebilir ve bunların uygun göreceği bir şekilde işaretlervesi veya tekrar işaretlenmesini isteyebilir.</w:t>
            </w:r>
          </w:p>
        </w:tc>
      </w:tr>
      <w:tr w:rsidR="00937F82" w:rsidRPr="002149A7" w:rsidTr="00937F82">
        <w:trPr>
          <w:trHeight w:val="1676"/>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5.</w:t>
            </w: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(1)</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Tütün antrepolarının her işgalcisi Gümrük ve Ruhsumat Dairesi Müdürünün emredeceği şekilde ve biçimde defter tutar ve işgalci antrepoya tütün veya işlenmemiş tütün girmesi veya antreponun bu gibi herhangi bir tütünün çıkarılması üzerine derhal giriş veya çıkışın doğru ve ayrıntılı bir kaydını yapar;</w:t>
            </w:r>
          </w:p>
        </w:tc>
      </w:tr>
      <w:tr w:rsidR="00937F82" w:rsidRPr="002149A7" w:rsidTr="00937F82">
        <w:trPr>
          <w:trHeight w:val="1655"/>
        </w:trPr>
        <w:tc>
          <w:tcPr>
            <w:tcW w:w="738" w:type="dxa"/>
          </w:tcPr>
          <w:p w:rsidR="00937F82" w:rsidRPr="002149A7" w:rsidRDefault="00937F82" w:rsidP="005C7399">
            <w:pPr>
              <w:overflowPunct w:val="0"/>
              <w:autoSpaceDE w:val="0"/>
              <w:autoSpaceDN w:val="0"/>
              <w:adjustRightInd w:val="0"/>
              <w:rPr>
                <w:color w:val="000000"/>
                <w:lang w:val="en-US"/>
              </w:rPr>
            </w:pPr>
          </w:p>
        </w:tc>
        <w:tc>
          <w:tcPr>
            <w:tcW w:w="668" w:type="dxa"/>
            <w:hideMark/>
          </w:tcPr>
          <w:p w:rsidR="00937F82" w:rsidRPr="002149A7" w:rsidRDefault="00937F82" w:rsidP="005C7399">
            <w:pPr>
              <w:overflowPunct w:val="0"/>
              <w:autoSpaceDE w:val="0"/>
              <w:autoSpaceDN w:val="0"/>
              <w:adjustRightInd w:val="0"/>
              <w:rPr>
                <w:color w:val="000000"/>
                <w:lang w:val="en-US"/>
              </w:rPr>
            </w:pPr>
            <w:r w:rsidRPr="002149A7">
              <w:t>(2)</w:t>
            </w:r>
          </w:p>
        </w:tc>
        <w:tc>
          <w:tcPr>
            <w:tcW w:w="7491" w:type="dxa"/>
            <w:hideMark/>
          </w:tcPr>
          <w:p w:rsidR="00937F82" w:rsidRPr="002149A7" w:rsidRDefault="00937F82" w:rsidP="005C7399">
            <w:pPr>
              <w:overflowPunct w:val="0"/>
              <w:autoSpaceDE w:val="0"/>
              <w:autoSpaceDN w:val="0"/>
              <w:adjustRightInd w:val="0"/>
              <w:rPr>
                <w:color w:val="000000"/>
                <w:lang w:val="en-US"/>
              </w:rPr>
            </w:pPr>
            <w:r w:rsidRPr="002149A7">
              <w:t>Bu madde uyarınca tutulan defterler Gümrük ve Ruhsumat Dairesi Müdürünün emredeceği bir yerde muhafaza edilir ve Gümrük ve Ruhsumat Dairesi Müdürünün veya Gümrük Şube Amiri veya onlardan birinin bu amaçla atayacağı kişiler tarafından incelemeye tüm makul saatlerde açık bulundurulur.</w:t>
            </w:r>
          </w:p>
        </w:tc>
      </w:tr>
      <w:tr w:rsidR="00937F82" w:rsidRPr="002149A7" w:rsidTr="00937F82">
        <w:trPr>
          <w:trHeight w:val="412"/>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6.</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Antrepolanan tüm tütün veya işlenmiş tütün, tütün antrepolarının Gümrük ve Ruhsumat Dairesi Müdürünün isteyeceği veya yetki vereceği kısımlarına depo edilir ve onun isteyeceği şekilde yığılır, ayrılır, paketlenir veya tekrar paketlenir.</w:t>
            </w:r>
          </w:p>
        </w:tc>
      </w:tr>
      <w:tr w:rsidR="00937F82" w:rsidRPr="002149A7" w:rsidTr="00937F82">
        <w:trPr>
          <w:trHeight w:val="1350"/>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7.</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Tütün antreposuna tütün veya işlenmiş tütün girişini veya bunların tütün antreposundan çekilmesi, Gümrük Ruhsumat Dairesi Müdürü başka bir emir vermedikçe muamele yapılması çin saptanan gün veya saatlerde Gümrük Şube Amirinin veya onun bu hususta atadığı bir kişinin huzurunda yapılır</w:t>
            </w:r>
          </w:p>
        </w:tc>
      </w:tr>
      <w:tr w:rsidR="00937F82" w:rsidRPr="002149A7" w:rsidTr="00937F82">
        <w:trPr>
          <w:trHeight w:val="1327"/>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8.</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Bir tütün antreposunun her kapısı iki kilitle emniyet altına alınır ve kilitlerinden birisinin anahtarı Gümrük Şube Amirinin veya onun atadığı bir istihlâk memurunun muhafazasında bulundurulur ve bu kilit sadece Gümrük Şube Amiri veya ilgili istihlak memuru tarafından açılabilir.</w:t>
            </w:r>
          </w:p>
        </w:tc>
      </w:tr>
      <w:tr w:rsidR="00937F82" w:rsidRPr="002149A7" w:rsidTr="00937F82">
        <w:trPr>
          <w:trHeight w:val="674"/>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9.</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Tütün antrepolarında korumasız ışık kullanılamaz veya kullanılmasına göz yumulamaz.</w:t>
            </w:r>
          </w:p>
        </w:tc>
      </w:tr>
      <w:tr w:rsidR="00937F82" w:rsidRPr="002149A7" w:rsidTr="00937F82">
        <w:trPr>
          <w:trHeight w:val="1655"/>
        </w:trPr>
        <w:tc>
          <w:tcPr>
            <w:tcW w:w="738" w:type="dxa"/>
            <w:hideMark/>
          </w:tcPr>
          <w:p w:rsidR="00937F82" w:rsidRPr="002149A7" w:rsidRDefault="00937F82" w:rsidP="005C7399">
            <w:pPr>
              <w:overflowPunct w:val="0"/>
              <w:autoSpaceDE w:val="0"/>
              <w:autoSpaceDN w:val="0"/>
              <w:adjustRightInd w:val="0"/>
              <w:rPr>
                <w:color w:val="000000"/>
                <w:lang w:val="en-US"/>
              </w:rPr>
            </w:pPr>
            <w:r w:rsidRPr="002149A7">
              <w:t>10.</w:t>
            </w: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Tütün antreposu bulunduran herkes antrepoyu temiz bir durumda ve kir ve zibilden arınmış olarak tutar ve antrepoda depolanmış başka herhangi bir tütün veya işlenmiş tütüne muhtemel tehlike veya zarar kaynağı olan herhangi bir tütün veya işlenmiş tütün, Gümrük Şube Amirinin istemi üzerine antrepoyu çalıştıran kişinin masrafları karşılanma şartıyla imha edilir.</w:t>
            </w:r>
          </w:p>
        </w:tc>
      </w:tr>
      <w:tr w:rsidR="00937F82" w:rsidRPr="002149A7" w:rsidTr="00937F82">
        <w:trPr>
          <w:trHeight w:val="1676"/>
        </w:trPr>
        <w:tc>
          <w:tcPr>
            <w:tcW w:w="738" w:type="dxa"/>
          </w:tcPr>
          <w:p w:rsidR="00937F82" w:rsidRPr="002149A7" w:rsidRDefault="00937F82" w:rsidP="005C7399">
            <w:pPr>
              <w:overflowPunct w:val="0"/>
              <w:autoSpaceDE w:val="0"/>
              <w:autoSpaceDN w:val="0"/>
              <w:adjustRightInd w:val="0"/>
              <w:rPr>
                <w:color w:val="000000"/>
                <w:lang w:val="en-US"/>
              </w:rPr>
            </w:pPr>
          </w:p>
        </w:tc>
        <w:tc>
          <w:tcPr>
            <w:tcW w:w="8159" w:type="dxa"/>
            <w:gridSpan w:val="2"/>
            <w:hideMark/>
          </w:tcPr>
          <w:p w:rsidR="00937F82" w:rsidRPr="002149A7" w:rsidRDefault="00937F82" w:rsidP="005C7399">
            <w:pPr>
              <w:overflowPunct w:val="0"/>
              <w:autoSpaceDE w:val="0"/>
              <w:autoSpaceDN w:val="0"/>
              <w:adjustRightInd w:val="0"/>
              <w:rPr>
                <w:color w:val="000000"/>
                <w:lang w:val="en-US"/>
              </w:rPr>
            </w:pPr>
            <w:r w:rsidRPr="002149A7">
              <w:t>Bir yeni tütün antreposu tayin eden kararın iptal edilmesi halinde Gümrük ve Ruhsumat Dairesi Müdürü, o antrepoda bulundurulan tüm tütünün veya işlenmiş tütünün, masrafları tütünün sahibi tarafından karşılanması şartıyla Gümrük ve Ruhsumat Dairesi Müdürünün gerekli göreceği mazaret altında derhal oradan boşaltılmasını sağlar</w:t>
            </w:r>
          </w:p>
        </w:tc>
      </w:tr>
    </w:tbl>
    <w:p w:rsidR="00937F82" w:rsidRDefault="00937F82" w:rsidP="00937F82">
      <w:pPr>
        <w:rPr>
          <w:lang w:val="en-US"/>
        </w:rPr>
      </w:pPr>
    </w:p>
    <w:p w:rsidR="00B713C1" w:rsidRDefault="00937F82" w:rsidP="00937F82">
      <w:r>
        <w:rPr>
          <w:lang w:val="en-US"/>
        </w:rPr>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BE"/>
    <w:rsid w:val="00937F82"/>
    <w:rsid w:val="00B713C1"/>
    <w:rsid w:val="00C30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8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8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B8FBE-6D5F-4785-BDE7-C4E53069A4EE}"/>
</file>

<file path=customXml/itemProps2.xml><?xml version="1.0" encoding="utf-8"?>
<ds:datastoreItem xmlns:ds="http://schemas.openxmlformats.org/officeDocument/2006/customXml" ds:itemID="{4CC35946-CD6E-4422-B4C3-25DF7FFE74BC}"/>
</file>

<file path=customXml/itemProps3.xml><?xml version="1.0" encoding="utf-8"?>
<ds:datastoreItem xmlns:ds="http://schemas.openxmlformats.org/officeDocument/2006/customXml" ds:itemID="{1B23237F-51B7-479E-AE79-685EF52361AC}"/>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2016-01-25T11:56:00Z</dcterms:created>
  <dcterms:modified xsi:type="dcterms:W3CDTF">2016-01-25T11:56:00Z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